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772DB9">
        <w:rPr>
          <w:b w:val="0"/>
          <w:color w:val="000099"/>
          <w:sz w:val="24"/>
        </w:rPr>
        <w:t>1</w:t>
      </w:r>
      <w:r w:rsidR="00AD2FA7">
        <w:rPr>
          <w:b w:val="0"/>
          <w:color w:val="000099"/>
          <w:sz w:val="24"/>
        </w:rPr>
        <w:t>911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72DB9">
        <w:rPr>
          <w:b w:val="0"/>
          <w:color w:val="000099"/>
          <w:sz w:val="24"/>
        </w:rPr>
        <w:t>5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AD2FA7">
        <w:rPr>
          <w:b w:val="0"/>
          <w:color w:val="000099"/>
          <w:sz w:val="24"/>
        </w:rPr>
        <w:t>05</w:t>
      </w:r>
      <w:r w:rsidRPr="00B140B6">
        <w:rPr>
          <w:b w:val="0"/>
          <w:color w:val="000099"/>
          <w:sz w:val="24"/>
        </w:rPr>
        <w:t>-01-202</w:t>
      </w:r>
      <w:r w:rsidR="00772DB9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772DB9">
        <w:rPr>
          <w:b w:val="0"/>
          <w:color w:val="000099"/>
          <w:sz w:val="24"/>
        </w:rPr>
        <w:t>06</w:t>
      </w:r>
      <w:r w:rsidR="00AD2FA7">
        <w:rPr>
          <w:b w:val="0"/>
          <w:color w:val="000099"/>
          <w:sz w:val="24"/>
        </w:rPr>
        <w:t>115</w:t>
      </w:r>
      <w:r w:rsidR="00772DB9">
        <w:rPr>
          <w:b w:val="0"/>
          <w:color w:val="000099"/>
          <w:sz w:val="24"/>
        </w:rPr>
        <w:t>-</w:t>
      </w:r>
      <w:r w:rsidR="00AD2FA7">
        <w:rPr>
          <w:b w:val="0"/>
          <w:color w:val="000099"/>
          <w:sz w:val="24"/>
        </w:rPr>
        <w:t>24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24 сентября</w:t>
      </w:r>
      <w:r w:rsidR="00772DB9">
        <w:rPr>
          <w:color w:val="000099"/>
          <w:sz w:val="28"/>
          <w:szCs w:val="28"/>
        </w:rPr>
        <w:t xml:space="preserve"> 2025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Мировой судья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</w:t>
      </w:r>
      <w:r w:rsidRPr="00584241" w:rsidR="005D1CE4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</w:t>
      </w:r>
      <w:r w:rsidRPr="00584241" w:rsidR="005D1CE4">
        <w:rPr>
          <w:sz w:val="28"/>
          <w:szCs w:val="28"/>
        </w:rPr>
        <w:t>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Табанцова</w:t>
      </w:r>
      <w:r>
        <w:rPr>
          <w:color w:val="000099"/>
          <w:sz w:val="28"/>
          <w:szCs w:val="28"/>
        </w:rPr>
        <w:t xml:space="preserve"> Евгения Петровича, </w:t>
      </w:r>
      <w:r w:rsidR="00076305">
        <w:rPr>
          <w:color w:val="000099"/>
          <w:sz w:val="28"/>
          <w:szCs w:val="28"/>
          <w:lang w:val="en-US"/>
        </w:rPr>
        <w:t>&lt;&lt;</w:t>
      </w:r>
      <w:r w:rsidR="00076305">
        <w:rPr>
          <w:color w:val="000099"/>
          <w:sz w:val="28"/>
          <w:szCs w:val="28"/>
        </w:rPr>
        <w:t>***</w:t>
      </w:r>
      <w:r w:rsidR="00076305">
        <w:rPr>
          <w:color w:val="000099"/>
          <w:sz w:val="28"/>
          <w:szCs w:val="28"/>
          <w:lang w:val="en-US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09</w:t>
      </w:r>
      <w:r w:rsidR="000030B1">
        <w:rPr>
          <w:color w:val="000099"/>
          <w:sz w:val="28"/>
          <w:szCs w:val="28"/>
        </w:rPr>
        <w:t>.</w:t>
      </w:r>
      <w:r w:rsidR="003413A1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18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04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32</w:t>
      </w:r>
      <w:r w:rsidR="0005668E">
        <w:rPr>
          <w:color w:val="000099"/>
          <w:sz w:val="28"/>
          <w:szCs w:val="28"/>
        </w:rPr>
        <w:t xml:space="preserve"> км.</w:t>
      </w:r>
      <w:r w:rsidRPr="00584241" w:rsidR="00796107">
        <w:rPr>
          <w:color w:val="000099"/>
          <w:sz w:val="28"/>
          <w:szCs w:val="28"/>
        </w:rPr>
        <w:t xml:space="preserve"> </w:t>
      </w:r>
      <w:r w:rsidR="00CF4FE0">
        <w:rPr>
          <w:color w:val="000099"/>
          <w:sz w:val="28"/>
          <w:szCs w:val="28"/>
        </w:rPr>
        <w:t xml:space="preserve">а/д </w:t>
      </w:r>
      <w:r>
        <w:rPr>
          <w:color w:val="000099"/>
          <w:sz w:val="28"/>
          <w:szCs w:val="28"/>
        </w:rPr>
        <w:t xml:space="preserve">Р404 </w:t>
      </w:r>
      <w:r w:rsidR="0005668E">
        <w:rPr>
          <w:color w:val="000099"/>
          <w:sz w:val="28"/>
          <w:szCs w:val="28"/>
        </w:rPr>
        <w:t xml:space="preserve">Тюмень </w:t>
      </w:r>
      <w:r w:rsidR="0005668E">
        <w:rPr>
          <w:color w:val="000099"/>
          <w:sz w:val="28"/>
          <w:szCs w:val="28"/>
        </w:rPr>
        <w:t xml:space="preserve">– </w:t>
      </w:r>
      <w:r w:rsidR="00772DB9">
        <w:rPr>
          <w:color w:val="000099"/>
          <w:sz w:val="28"/>
          <w:szCs w:val="28"/>
        </w:rPr>
        <w:t xml:space="preserve"> Тобольск</w:t>
      </w:r>
      <w:r w:rsidR="00772DB9">
        <w:rPr>
          <w:color w:val="000099"/>
          <w:sz w:val="28"/>
          <w:szCs w:val="28"/>
        </w:rPr>
        <w:t xml:space="preserve"> – </w:t>
      </w:r>
      <w:r w:rsidR="0005668E">
        <w:rPr>
          <w:color w:val="000099"/>
          <w:sz w:val="28"/>
          <w:szCs w:val="28"/>
        </w:rPr>
        <w:t xml:space="preserve">Ханты-Мансийск </w:t>
      </w:r>
      <w:r>
        <w:rPr>
          <w:color w:val="000099"/>
          <w:sz w:val="28"/>
          <w:szCs w:val="28"/>
        </w:rPr>
        <w:t>подъезд к г. Сургуту</w:t>
      </w:r>
      <w:r w:rsidR="0005668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Табанцов</w:t>
      </w:r>
      <w:r>
        <w:rPr>
          <w:color w:val="000099"/>
          <w:sz w:val="28"/>
          <w:szCs w:val="28"/>
        </w:rPr>
        <w:t xml:space="preserve"> Е.П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076305" w:rsidR="00076305">
        <w:rPr>
          <w:color w:val="000099"/>
          <w:sz w:val="28"/>
          <w:szCs w:val="28"/>
        </w:rPr>
        <w:t>&lt;&lt;</w:t>
      </w:r>
      <w:r w:rsidR="00076305">
        <w:rPr>
          <w:color w:val="000099"/>
          <w:sz w:val="28"/>
          <w:szCs w:val="28"/>
        </w:rPr>
        <w:t>***</w:t>
      </w:r>
      <w:r w:rsidRPr="00076305" w:rsidR="00076305">
        <w:rPr>
          <w:color w:val="000099"/>
          <w:sz w:val="28"/>
          <w:szCs w:val="28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076305" w:rsidR="00076305">
        <w:rPr>
          <w:color w:val="000099"/>
          <w:sz w:val="28"/>
          <w:szCs w:val="28"/>
        </w:rPr>
        <w:t>&lt;&lt;</w:t>
      </w:r>
      <w:r w:rsidR="00076305">
        <w:rPr>
          <w:color w:val="000099"/>
          <w:sz w:val="28"/>
          <w:szCs w:val="28"/>
        </w:rPr>
        <w:t>***</w:t>
      </w:r>
      <w:r w:rsidRPr="00076305" w:rsidR="00076305">
        <w:rPr>
          <w:color w:val="000099"/>
          <w:sz w:val="28"/>
          <w:szCs w:val="28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>выезд на полосу дороги, предназначенную для встречного движения с пересечением горизонтальной разметки 1.1 «Сплошная линия»</w:t>
      </w:r>
      <w:r w:rsidRPr="00584241" w:rsidR="005D6C69">
        <w:rPr>
          <w:color w:val="000099"/>
          <w:sz w:val="28"/>
          <w:szCs w:val="28"/>
        </w:rPr>
        <w:t>, чем нарушил</w:t>
      </w:r>
      <w:r w:rsidR="0005668E">
        <w:rPr>
          <w:color w:val="000099"/>
          <w:sz w:val="28"/>
          <w:szCs w:val="28"/>
        </w:rPr>
        <w:t>а</w:t>
      </w:r>
      <w:r w:rsidRPr="00584241" w:rsidR="005D6C69">
        <w:rPr>
          <w:color w:val="000099"/>
          <w:sz w:val="28"/>
          <w:szCs w:val="28"/>
        </w:rPr>
        <w:t xml:space="preserve">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RPr="00584241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AD2FA7">
        <w:rPr>
          <w:color w:val="000099"/>
          <w:sz w:val="27"/>
          <w:szCs w:val="27"/>
        </w:rPr>
        <w:t>согласен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</w:t>
      </w:r>
      <w:r w:rsidRPr="00584241">
        <w:rPr>
          <w:color w:val="000099"/>
          <w:sz w:val="28"/>
          <w:szCs w:val="28"/>
        </w:rPr>
        <w:t>дислокации дорожных знаков и разметки</w:t>
      </w:r>
      <w:r w:rsidRPr="00584241">
        <w:rPr>
          <w:color w:val="000099"/>
          <w:sz w:val="28"/>
          <w:szCs w:val="28"/>
        </w:rPr>
        <w:t xml:space="preserve"> на данном участке автодороги нанесена дорожная разметки 1.1.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AD2FA7">
        <w:rPr>
          <w:color w:val="000099"/>
          <w:sz w:val="28"/>
          <w:szCs w:val="28"/>
        </w:rPr>
        <w:t>Табанцова</w:t>
      </w:r>
      <w:r w:rsidR="00AD2FA7">
        <w:rPr>
          <w:color w:val="000099"/>
          <w:sz w:val="28"/>
          <w:szCs w:val="28"/>
        </w:rPr>
        <w:t xml:space="preserve"> Евгения Петровича</w:t>
      </w:r>
      <w:r w:rsidRPr="00584241" w:rsidR="00AD2FA7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Обстоятельств, отягчающи</w:t>
      </w:r>
      <w:r w:rsidR="00AD2FA7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="00AD2FA7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="00AD2FA7">
        <w:rPr>
          <w:color w:val="000099"/>
          <w:sz w:val="28"/>
          <w:szCs w:val="28"/>
        </w:rPr>
        <w:t>ым</w:t>
      </w:r>
      <w:r w:rsidRPr="00584241" w:rsidR="001E0BE9">
        <w:rPr>
          <w:color w:val="000099"/>
          <w:sz w:val="28"/>
          <w:szCs w:val="28"/>
        </w:rPr>
        <w:t xml:space="preserve"> судь</w:t>
      </w:r>
      <w:r w:rsidR="00AD2FA7">
        <w:rPr>
          <w:color w:val="000099"/>
          <w:sz w:val="28"/>
          <w:szCs w:val="28"/>
        </w:rPr>
        <w:t>ей</w:t>
      </w:r>
      <w:r w:rsidRPr="00584241" w:rsidR="001E0BE9">
        <w:rPr>
          <w:color w:val="000099"/>
          <w:sz w:val="28"/>
          <w:szCs w:val="28"/>
        </w:rPr>
        <w:t xml:space="preserve"> </w:t>
      </w:r>
      <w:r w:rsidR="00AD2FA7">
        <w:rPr>
          <w:color w:val="000099"/>
          <w:sz w:val="28"/>
          <w:szCs w:val="28"/>
        </w:rPr>
        <w:t>не установлено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Табанцова</w:t>
      </w:r>
      <w:r>
        <w:rPr>
          <w:color w:val="000099"/>
          <w:sz w:val="28"/>
          <w:szCs w:val="28"/>
        </w:rPr>
        <w:t xml:space="preserve"> Евгения Петровича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</w:t>
      </w:r>
      <w:r w:rsidR="00AD2FA7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AD2FA7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AD2FA7">
        <w:rPr>
          <w:color w:val="C00000"/>
          <w:sz w:val="28"/>
          <w:szCs w:val="28"/>
        </w:rPr>
        <w:t>509</w:t>
      </w:r>
      <w:r w:rsidRPr="00904630">
        <w:rPr>
          <w:color w:val="C00000"/>
          <w:sz w:val="28"/>
          <w:szCs w:val="28"/>
        </w:rPr>
        <w:t xml:space="preserve"> </w:t>
      </w:r>
      <w:r w:rsidR="00AD2FA7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AD2FA7">
        <w:rPr>
          <w:color w:val="C00000"/>
          <w:sz w:val="28"/>
          <w:szCs w:val="28"/>
        </w:rPr>
        <w:t>40973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</w:t>
      </w:r>
      <w:r w:rsidRPr="00904630">
        <w:rPr>
          <w:sz w:val="28"/>
          <w:szCs w:val="28"/>
        </w:rPr>
        <w:t>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Квитанцию об уплате штрафа необходимо предоставить в </w:t>
      </w:r>
      <w:r w:rsidRPr="00584241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</w:t>
      </w:r>
      <w:r w:rsidRPr="00584241">
        <w:rPr>
          <w:sz w:val="28"/>
          <w:szCs w:val="28"/>
        </w:rPr>
        <w:t>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584241">
        <w:rPr>
          <w:sz w:val="28"/>
          <w:szCs w:val="28"/>
        </w:rPr>
        <w:t>Сургутский</w:t>
      </w:r>
      <w:r w:rsidRPr="00584241">
        <w:rPr>
          <w:sz w:val="28"/>
          <w:szCs w:val="28"/>
        </w:rPr>
        <w:t xml:space="preserve">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через мирового судью</w:t>
      </w:r>
      <w:r w:rsidRPr="00584241">
        <w:rPr>
          <w:sz w:val="28"/>
          <w:szCs w:val="28"/>
        </w:rPr>
        <w:t xml:space="preserve">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/>
    <w:p w:rsidR="00076305" w:rsidRPr="00584241">
      <w:pPr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305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6305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2FA7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